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977"/>
      </w:tblGrid>
      <w:tr w:rsidR="002D2BBD" w:rsidRPr="00991641" w14:paraId="79CEEC4A" w14:textId="77777777" w:rsidTr="00E33055">
        <w:tc>
          <w:tcPr>
            <w:tcW w:w="2835" w:type="dxa"/>
            <w:vAlign w:val="center"/>
          </w:tcPr>
          <w:p w14:paraId="671D5394" w14:textId="1436C3D0" w:rsidR="002D2BBD" w:rsidRPr="007F75E3" w:rsidRDefault="002D2BBD" w:rsidP="00E33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kern w:val="32"/>
                <w:sz w:val="20"/>
                <w:szCs w:val="20"/>
                <w:u w:val="single"/>
                <w:lang w:val="de-DE" w:eastAsia="de-DE"/>
                <w14:ligatures w14:val="none"/>
              </w:rPr>
            </w:pPr>
            <w:r w:rsidRPr="007F75E3">
              <w:rPr>
                <w:rFonts w:ascii="Arial" w:eastAsia="Times New Roman" w:hAnsi="Arial" w:cs="Arial"/>
                <w:b/>
                <w:bCs/>
                <w:noProof/>
                <w:color w:val="000000"/>
                <w:kern w:val="32"/>
                <w:sz w:val="20"/>
                <w:szCs w:val="20"/>
                <w:lang w:val="de-DE" w:eastAsia="de-DE"/>
                <w14:ligatures w14:val="none"/>
              </w:rPr>
              <w:t>Secretary General</w:t>
            </w:r>
          </w:p>
          <w:p w14:paraId="6B1C3EA3" w14:textId="2250E390" w:rsidR="002D2BBD" w:rsidRPr="00991641" w:rsidRDefault="002D2BBD" w:rsidP="00E3305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val="de-DE" w:eastAsia="de-DE"/>
                <w14:ligatures w14:val="none"/>
              </w:rPr>
            </w:pPr>
            <w:r w:rsidRPr="00991641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val="de-DE" w:eastAsia="de-DE"/>
                <w14:ligatures w14:val="none"/>
              </w:rPr>
              <w:t xml:space="preserve">William Kearney </w:t>
            </w:r>
          </w:p>
          <w:p w14:paraId="359BE64E" w14:textId="1C6F8E86" w:rsidR="002D2BBD" w:rsidRPr="00991641" w:rsidRDefault="002D2BBD" w:rsidP="00E3305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val="de-DE" w:eastAsia="de-DE"/>
                <w14:ligatures w14:val="none"/>
              </w:rPr>
            </w:pPr>
            <w:r w:rsidRPr="00991641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val="de-DE" w:eastAsia="de-DE"/>
                <w14:ligatures w14:val="none"/>
              </w:rPr>
              <w:t>6 Coolamber Park,</w:t>
            </w:r>
            <w:r w:rsidR="007F75E3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r w:rsidRPr="00991641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val="de-DE" w:eastAsia="de-DE"/>
                <w14:ligatures w14:val="none"/>
              </w:rPr>
              <w:t>Knocklyon, Dublin 16, Dublin, Ireland,D16Y1F7.</w:t>
            </w:r>
          </w:p>
          <w:p w14:paraId="38DF182D" w14:textId="77777777" w:rsidR="002D2BBD" w:rsidRPr="00991641" w:rsidRDefault="002D2BBD" w:rsidP="00E33055">
            <w:pPr>
              <w:tabs>
                <w:tab w:val="left" w:pos="643"/>
              </w:tabs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val="de-DE" w:eastAsia="de-DE"/>
                <w14:ligatures w14:val="none"/>
              </w:rPr>
            </w:pPr>
            <w:r w:rsidRPr="00991641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val="de-DE" w:eastAsia="de-DE"/>
                <w14:ligatures w14:val="none"/>
              </w:rPr>
              <w:t>phone:</w:t>
            </w:r>
            <w:r w:rsidRPr="00991641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val="de-DE" w:eastAsia="de-DE"/>
                <w14:ligatures w14:val="none"/>
              </w:rPr>
              <w:tab/>
              <w:t>00353871007633</w:t>
            </w:r>
          </w:p>
          <w:p w14:paraId="61AF4805" w14:textId="77777777" w:rsidR="002D2BBD" w:rsidRPr="00991641" w:rsidRDefault="002D2BBD" w:rsidP="00E33055">
            <w:pPr>
              <w:tabs>
                <w:tab w:val="left" w:pos="643"/>
              </w:tabs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val="de-DE" w:eastAsia="de-DE"/>
                <w14:ligatures w14:val="none"/>
              </w:rPr>
            </w:pPr>
            <w:r w:rsidRPr="00991641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val="de-DE" w:eastAsia="de-DE"/>
                <w14:ligatures w14:val="none"/>
              </w:rPr>
              <w:t>mail:</w:t>
            </w:r>
            <w:r w:rsidRPr="00991641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val="de-DE" w:eastAsia="de-DE"/>
                <w14:ligatures w14:val="none"/>
              </w:rPr>
              <w:tab/>
              <w:t>info@entente-florale.eu</w:t>
            </w:r>
          </w:p>
          <w:p w14:paraId="1C6AC135" w14:textId="77777777" w:rsidR="002D2BBD" w:rsidRPr="00FB1622" w:rsidRDefault="002D2BBD" w:rsidP="00E33055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de-DE" w:eastAsia="de-DE"/>
                <w14:ligatures w14:val="none"/>
              </w:rPr>
            </w:pPr>
            <w:r w:rsidRPr="00991641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val="de-DE" w:eastAsia="de-DE"/>
                <w14:ligatures w14:val="none"/>
              </w:rPr>
              <w:t>web :</w:t>
            </w:r>
            <w:r w:rsidRPr="00991641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val="de-DE" w:eastAsia="de-DE"/>
                <w14:ligatures w14:val="none"/>
              </w:rPr>
              <w:tab/>
            </w:r>
            <w:hyperlink r:id="rId5">
              <w:r w:rsidRPr="00991641">
                <w:rPr>
                  <w:rFonts w:ascii="Arial" w:eastAsia="Times New Roman" w:hAnsi="Arial" w:cs="Arial"/>
                  <w:noProof/>
                  <w:color w:val="0000FF"/>
                  <w:kern w:val="32"/>
                  <w:sz w:val="16"/>
                  <w:szCs w:val="16"/>
                  <w:u w:val="single"/>
                  <w:lang w:val="de-DE" w:eastAsia="de-DE"/>
                  <w14:ligatures w14:val="none"/>
                </w:rPr>
                <w:t>www.entente-florale.eu</w:t>
              </w:r>
            </w:hyperlink>
          </w:p>
        </w:tc>
        <w:tc>
          <w:tcPr>
            <w:tcW w:w="4111" w:type="dxa"/>
            <w:tcBorders>
              <w:right w:val="nil"/>
            </w:tcBorders>
            <w:vAlign w:val="center"/>
          </w:tcPr>
          <w:p w14:paraId="68A1F4A3" w14:textId="77777777" w:rsidR="002D2BBD" w:rsidRPr="00FB1622" w:rsidRDefault="002D2BBD" w:rsidP="00E3305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32"/>
                <w:sz w:val="38"/>
                <w:szCs w:val="38"/>
                <w:lang w:eastAsia="de-DE"/>
                <w14:ligatures w14:val="none"/>
              </w:rPr>
            </w:pPr>
            <w:r w:rsidRPr="00FB1622"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32"/>
                <w:sz w:val="38"/>
                <w:szCs w:val="38"/>
                <w:lang w:eastAsia="de-DE"/>
                <w14:ligatures w14:val="none"/>
              </w:rPr>
              <w:t>Entente Florale Europe</w:t>
            </w:r>
          </w:p>
          <w:p w14:paraId="788607C8" w14:textId="77777777" w:rsidR="002D2BBD" w:rsidRPr="00FB1622" w:rsidRDefault="002D2BBD" w:rsidP="002D2B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32"/>
                <w:sz w:val="38"/>
                <w:szCs w:val="38"/>
                <w:lang w:eastAsia="de-DE"/>
                <w14:ligatures w14:val="none"/>
              </w:rPr>
            </w:pPr>
            <w:r w:rsidRPr="00FB1622"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32"/>
                <w:sz w:val="38"/>
                <w:szCs w:val="38"/>
                <w:lang w:eastAsia="de-DE"/>
                <w14:ligatures w14:val="none"/>
              </w:rPr>
              <w:t xml:space="preserve">Press Release </w:t>
            </w:r>
          </w:p>
          <w:p w14:paraId="28330C19" w14:textId="064D5C2A" w:rsidR="002D2BBD" w:rsidRPr="00FB1622" w:rsidRDefault="002D2BBD" w:rsidP="00E3305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32"/>
                <w:sz w:val="36"/>
                <w:szCs w:val="36"/>
                <w:u w:val="single"/>
                <w:lang w:eastAsia="de-DE"/>
                <w14:ligatures w14:val="none"/>
              </w:rPr>
            </w:pPr>
            <w:r w:rsidRPr="00FB1622"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32"/>
                <w:sz w:val="36"/>
                <w:szCs w:val="36"/>
                <w:u w:val="single"/>
                <w:lang w:eastAsia="de-DE"/>
                <w14:ligatures w14:val="none"/>
              </w:rPr>
              <w:t>Results 202</w:t>
            </w:r>
            <w:r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32"/>
                <w:sz w:val="36"/>
                <w:szCs w:val="36"/>
                <w:u w:val="single"/>
                <w:lang w:eastAsia="de-DE"/>
                <w14:ligatures w14:val="none"/>
              </w:rPr>
              <w:t>5</w:t>
            </w:r>
          </w:p>
          <w:p w14:paraId="4963F0BA" w14:textId="77777777" w:rsidR="002D2BBD" w:rsidRPr="00FB1622" w:rsidRDefault="002D2BBD" w:rsidP="00E3305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32"/>
                <w:szCs w:val="24"/>
                <w:lang w:eastAsia="de-DE"/>
                <w14:ligatures w14:val="none"/>
              </w:rPr>
            </w:pP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1A16DAA7" w14:textId="77777777" w:rsidR="002D2BBD" w:rsidRPr="00991641" w:rsidRDefault="002D2BBD" w:rsidP="00E3305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2"/>
                <w:szCs w:val="24"/>
                <w:lang w:val="en-US" w:eastAsia="de-DE"/>
                <w14:ligatures w14:val="none"/>
              </w:rPr>
            </w:pPr>
            <w:r w:rsidRPr="00991641">
              <w:rPr>
                <w:rFonts w:ascii="Arial" w:eastAsia="Times New Roman" w:hAnsi="Arial" w:cs="Times New Roman"/>
                <w:noProof/>
                <w:color w:val="000000"/>
                <w:kern w:val="32"/>
                <w:szCs w:val="24"/>
                <w:lang w:val="de-DE" w:eastAsia="de-DE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E4A5C14" wp14:editId="4FA6EAE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-19685</wp:posOffset>
                  </wp:positionV>
                  <wp:extent cx="1809115" cy="998855"/>
                  <wp:effectExtent l="0" t="0" r="635" b="0"/>
                  <wp:wrapNone/>
                  <wp:docPr id="14251116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1641">
              <w:rPr>
                <w:rFonts w:ascii="Arial" w:eastAsia="Times New Roman" w:hAnsi="Arial" w:cs="Arial"/>
                <w:noProof/>
                <w:color w:val="000000"/>
                <w:kern w:val="32"/>
                <w:szCs w:val="24"/>
                <w:lang w:val="en-US" w:eastAsia="de-DE"/>
                <w14:ligatures w14:val="none"/>
              </w:rPr>
              <w:t xml:space="preserve">           </w:t>
            </w:r>
          </w:p>
        </w:tc>
      </w:tr>
      <w:tr w:rsidR="002D2BBD" w:rsidRPr="00991641" w14:paraId="6FA7AAA5" w14:textId="77777777" w:rsidTr="00E33055">
        <w:tc>
          <w:tcPr>
            <w:tcW w:w="2835" w:type="dxa"/>
            <w:vAlign w:val="center"/>
          </w:tcPr>
          <w:p w14:paraId="124BD8DC" w14:textId="1402B465" w:rsidR="002D2BBD" w:rsidRPr="00991641" w:rsidRDefault="002D2BBD" w:rsidP="00E3305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</w:pP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14:paraId="02CB1AB6" w14:textId="77777777" w:rsidR="002D2BBD" w:rsidRPr="00991641" w:rsidRDefault="002D2BBD" w:rsidP="00E3305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</w:pPr>
            <w:r w:rsidRPr="00991641"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  <w:t xml:space="preserve">Page  </w:t>
            </w:r>
            <w:r w:rsidRPr="00991641"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  <w:fldChar w:fldCharType="begin"/>
            </w:r>
            <w:r w:rsidRPr="00991641"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  <w:instrText xml:space="preserve"> PAGE </w:instrText>
            </w:r>
            <w:r w:rsidRPr="00991641"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  <w:fldChar w:fldCharType="separate"/>
            </w:r>
            <w:r w:rsidRPr="00991641"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  <w:t>1</w:t>
            </w:r>
            <w:r w:rsidRPr="00991641"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  <w:fldChar w:fldCharType="end"/>
            </w:r>
            <w:r w:rsidRPr="00991641"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  <w:t xml:space="preserve"> of  2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44CC60BA" w14:textId="77777777" w:rsidR="002D2BBD" w:rsidRPr="00991641" w:rsidRDefault="002D2BBD" w:rsidP="00E3305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</w:pPr>
          </w:p>
        </w:tc>
      </w:tr>
    </w:tbl>
    <w:p w14:paraId="2A4DEF48" w14:textId="77777777" w:rsidR="008F6BAA" w:rsidRDefault="008F6BAA" w:rsidP="008F6BAA">
      <w:pPr>
        <w:spacing w:after="200" w:line="240" w:lineRule="auto"/>
        <w:jc w:val="right"/>
        <w:rPr>
          <w:rFonts w:ascii="Cambria" w:eastAsia="Times New Roman" w:hAnsi="Cambria" w:cs="Times New Roman"/>
          <w:b/>
          <w:bCs/>
          <w:color w:val="000000"/>
          <w:kern w:val="0"/>
          <w:lang w:eastAsia="en-IE"/>
          <w14:ligatures w14:val="none"/>
        </w:rPr>
      </w:pPr>
    </w:p>
    <w:p w14:paraId="30A1D867" w14:textId="53EF9C59" w:rsidR="002D2BBD" w:rsidRDefault="008F6BAA" w:rsidP="008F6BAA">
      <w:pPr>
        <w:spacing w:after="200" w:line="240" w:lineRule="auto"/>
        <w:jc w:val="right"/>
        <w:rPr>
          <w:rFonts w:ascii="Cambria" w:eastAsia="Times New Roman" w:hAnsi="Cambria" w:cs="Times New Roman"/>
          <w:b/>
          <w:bCs/>
          <w:color w:val="000000"/>
          <w:kern w:val="0"/>
          <w:lang w:eastAsia="en-IE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lang w:eastAsia="en-IE"/>
          <w14:ligatures w14:val="none"/>
        </w:rPr>
        <w:t xml:space="preserve"> </w:t>
      </w:r>
      <w:r w:rsidRPr="00EB5EB9">
        <w:rPr>
          <w:rFonts w:ascii="Cambria" w:eastAsia="Times New Roman" w:hAnsi="Cambria" w:cs="Times New Roman"/>
          <w:b/>
          <w:bCs/>
          <w:color w:val="000000"/>
          <w:kern w:val="0"/>
          <w:lang w:eastAsia="en-IE"/>
          <w14:ligatures w14:val="none"/>
        </w:rPr>
        <w:t xml:space="preserve">Date: </w:t>
      </w:r>
      <w:r>
        <w:rPr>
          <w:rFonts w:ascii="Cambria" w:eastAsia="Times New Roman" w:hAnsi="Cambria" w:cs="Times New Roman"/>
          <w:b/>
          <w:bCs/>
          <w:color w:val="000000"/>
          <w:kern w:val="0"/>
          <w:lang w:eastAsia="en-IE"/>
          <w14:ligatures w14:val="none"/>
        </w:rPr>
        <w:t>28</w:t>
      </w:r>
      <w:r w:rsidRPr="00EB5EB9">
        <w:rPr>
          <w:rFonts w:ascii="Cambria" w:eastAsia="Times New Roman" w:hAnsi="Cambria" w:cs="Times New Roman"/>
          <w:b/>
          <w:bCs/>
          <w:color w:val="000000"/>
          <w:kern w:val="0"/>
          <w:lang w:eastAsia="en-IE"/>
          <w14:ligatures w14:val="none"/>
        </w:rPr>
        <w:t>/09/202</w:t>
      </w:r>
      <w:r>
        <w:rPr>
          <w:rFonts w:ascii="Cambria" w:eastAsia="Times New Roman" w:hAnsi="Cambria" w:cs="Times New Roman"/>
          <w:b/>
          <w:bCs/>
          <w:color w:val="000000"/>
          <w:kern w:val="0"/>
          <w:lang w:eastAsia="en-IE"/>
          <w14:ligatures w14:val="none"/>
        </w:rPr>
        <w:t>5 – 19.00 hrs</w:t>
      </w:r>
    </w:p>
    <w:p w14:paraId="30CF7FFA" w14:textId="2EA2B823" w:rsidR="006D1207" w:rsidRPr="00D3056B" w:rsidRDefault="006D1207" w:rsidP="006D1207">
      <w:pPr>
        <w:spacing w:after="200" w:line="240" w:lineRule="auto"/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en-IE"/>
          <w14:ligatures w14:val="none"/>
        </w:rPr>
      </w:pPr>
      <w:r w:rsidRPr="00D3056B"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en-IE"/>
          <w14:ligatures w14:val="none"/>
        </w:rPr>
        <w:t xml:space="preserve">The Official Results of the 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en-IE"/>
          <w14:ligatures w14:val="none"/>
        </w:rPr>
        <w:t xml:space="preserve">Jubilee Year </w:t>
      </w:r>
      <w:r w:rsidRPr="00D3056B"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en-IE"/>
          <w14:ligatures w14:val="none"/>
        </w:rPr>
        <w:t>Entente Florale Competition for 202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en-IE"/>
          <w14:ligatures w14:val="none"/>
        </w:rPr>
        <w:t>5</w:t>
      </w:r>
      <w:r w:rsidRPr="00D3056B"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en-IE"/>
          <w14:ligatures w14:val="none"/>
        </w:rPr>
        <w:t xml:space="preserve"> have been announced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en-IE"/>
          <w14:ligatures w14:val="none"/>
        </w:rPr>
        <w:t>…</w:t>
      </w:r>
    </w:p>
    <w:p w14:paraId="236D6D11" w14:textId="472D9E99" w:rsidR="006D1207" w:rsidRPr="00EB5EB9" w:rsidRDefault="006D1207" w:rsidP="006D1207">
      <w:pPr>
        <w:spacing w:after="200" w:line="240" w:lineRule="auto"/>
        <w:jc w:val="center"/>
        <w:rPr>
          <w:rFonts w:ascii="Cambria" w:eastAsia="Times New Roman" w:hAnsi="Cambria" w:cs="Times New Roman"/>
          <w:b/>
          <w:bCs/>
          <w:color w:val="000000"/>
          <w:kern w:val="0"/>
          <w:lang w:eastAsia="en-IE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lang w:eastAsia="en-IE"/>
          <w14:ligatures w14:val="none"/>
        </w:rPr>
        <w:t xml:space="preserve">                                                                                                                           </w:t>
      </w:r>
    </w:p>
    <w:p w14:paraId="37FDF773" w14:textId="77777777" w:rsidR="006D1207" w:rsidRPr="009A02FF" w:rsidRDefault="006D1207" w:rsidP="006D1207">
      <w:pPr>
        <w:spacing w:after="20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IE"/>
          <w14:ligatures w14:val="none"/>
        </w:rPr>
      </w:pPr>
      <w:r w:rsidRPr="009A02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Entente Florale Europe 2025 – background and results. </w:t>
      </w:r>
    </w:p>
    <w:p w14:paraId="3EA8C7CE" w14:textId="20399483" w:rsidR="009A02FF" w:rsidRDefault="007F75E3" w:rsidP="006D1207">
      <w:pPr>
        <w:spacing w:after="20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The award scheme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was established in </w:t>
      </w:r>
      <w:r w:rsidR="002D2BBD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1975,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and this year </w:t>
      </w: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we are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celebrating </w:t>
      </w: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the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50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en-IE"/>
          <w14:ligatures w14:val="none"/>
        </w:rPr>
        <w:t>th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a</w:t>
      </w:r>
      <w:r w:rsidR="002D2BBD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nniversary. </w:t>
      </w:r>
      <w:r w:rsidR="00F87089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We have</w:t>
      </w:r>
      <w:r w:rsidR="002D2BBD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engaged with more than 400 Municipalities and up to 7million European citizens</w:t>
      </w:r>
      <w:r w:rsidR="008F6BAA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over this period</w:t>
      </w:r>
      <w:r w:rsidR="002D2BBD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. It is the longest running environmental awards scheme in Europe. </w:t>
      </w:r>
    </w:p>
    <w:p w14:paraId="27BBF40F" w14:textId="57C5144E" w:rsidR="006D1207" w:rsidRPr="009A02FF" w:rsidRDefault="002D2BBD" w:rsidP="006D1207">
      <w:pPr>
        <w:spacing w:after="20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It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aims to promote a greener and more pleasant environment in European </w:t>
      </w:r>
      <w:r w:rsidR="007F75E3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cities, 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towns and villages</w:t>
      </w: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,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enhanc</w:t>
      </w: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ing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quality of life and </w:t>
      </w:r>
      <w:r w:rsidR="007F75E3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fostering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international contacts </w:t>
      </w:r>
      <w:r w:rsidR="007F75E3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and transfer of best practice between 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participants.  </w:t>
      </w:r>
    </w:p>
    <w:p w14:paraId="708EB232" w14:textId="5C031BB0" w:rsidR="006D1207" w:rsidRPr="009A02FF" w:rsidRDefault="006D1207" w:rsidP="006D1207">
      <w:pPr>
        <w:spacing w:after="20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In the year 2025, seven different countries participated </w:t>
      </w:r>
      <w:r w:rsidR="00F87089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with</w:t>
      </w: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a total of 11 </w:t>
      </w:r>
      <w:r w:rsidR="00F87089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participants</w:t>
      </w:r>
      <w:r w:rsidR="008F6BAA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,</w:t>
      </w:r>
      <w:r w:rsidR="00F87089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which were assessed on site by a</w:t>
      </w: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n international jury</w:t>
      </w:r>
      <w:r w:rsidR="00F87089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from June 26</w:t>
      </w:r>
      <w:r w:rsidR="00F87089" w:rsidRPr="009A02FF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en-IE"/>
          <w14:ligatures w14:val="none"/>
        </w:rPr>
        <w:t>th</w:t>
      </w:r>
      <w:r w:rsidR="00F87089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to July 13</w:t>
      </w:r>
      <w:r w:rsidR="00F87089" w:rsidRPr="009A02FF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en-IE"/>
          <w14:ligatures w14:val="none"/>
        </w:rPr>
        <w:t>th</w:t>
      </w:r>
      <w:r w:rsidR="00F87089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.</w:t>
      </w: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</w:p>
    <w:p w14:paraId="2D5724B2" w14:textId="77777777" w:rsidR="006D1207" w:rsidRPr="009A02FF" w:rsidRDefault="006D1207" w:rsidP="006D1207">
      <w:pPr>
        <w:spacing w:after="20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9A02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Criteria </w:t>
      </w:r>
    </w:p>
    <w:p w14:paraId="03279650" w14:textId="49875699" w:rsidR="006D1207" w:rsidRPr="009A02FF" w:rsidRDefault="00F87089" w:rsidP="006D1207">
      <w:pPr>
        <w:spacing w:after="20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All adjudications were in accordance with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ten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criteria based on the following:</w:t>
      </w:r>
    </w:p>
    <w:p w14:paraId="6DC29751" w14:textId="36BAF056" w:rsidR="009A02FF" w:rsidRPr="009A02FF" w:rsidRDefault="006D1207" w:rsidP="00F870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Quality of landscape </w:t>
      </w:r>
      <w:r w:rsidR="008F6BAA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enhancement </w:t>
      </w: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and vegetation: planting of </w:t>
      </w:r>
      <w:r w:rsidR="00F87089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trees, shrubs, and </w:t>
      </w: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flower</w:t>
      </w:r>
      <w:r w:rsidR="009A02FF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s.</w:t>
      </w:r>
      <w:r w:rsidR="00F87089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</w:p>
    <w:p w14:paraId="20BE1FC8" w14:textId="008F7FFC" w:rsidR="006D1207" w:rsidRPr="009A02FF" w:rsidRDefault="009A02FF" w:rsidP="00F870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P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romotion of biodiversity and ecologically friendly management.</w:t>
      </w:r>
    </w:p>
    <w:p w14:paraId="5DD375BD" w14:textId="16756A57" w:rsidR="009A02FF" w:rsidRPr="009A02FF" w:rsidRDefault="006D1207" w:rsidP="00F870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Quality of natural and built environments including sustainable management</w:t>
      </w:r>
      <w:r w:rsidR="009A02FF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of waste,</w:t>
      </w: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9A02FF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and </w:t>
      </w: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water. </w:t>
      </w:r>
    </w:p>
    <w:p w14:paraId="44997C0D" w14:textId="42C671CE" w:rsidR="00F87089" w:rsidRPr="009A02FF" w:rsidRDefault="006D1207" w:rsidP="00F870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Participation and cooperation by local voluntary bodies and </w:t>
      </w:r>
      <w:r w:rsidR="009A02FF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civil authorities</w:t>
      </w: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. </w:t>
      </w:r>
    </w:p>
    <w:p w14:paraId="38D5EF49" w14:textId="61CAC368" w:rsidR="006D1207" w:rsidRPr="009A02FF" w:rsidRDefault="006D1207" w:rsidP="00F870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The successful implementation of sustainable environmental and climate change mitigation measures.</w:t>
      </w:r>
    </w:p>
    <w:p w14:paraId="024993C6" w14:textId="572F343D" w:rsidR="006D1207" w:rsidRPr="009A02FF" w:rsidRDefault="006D1207" w:rsidP="00F870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 xml:space="preserve">Education and schools - ecology and the green dimension. </w:t>
      </w:r>
    </w:p>
    <w:p w14:paraId="4764C5EB" w14:textId="672119A3" w:rsidR="00F87089" w:rsidRPr="009A02FF" w:rsidRDefault="00F87089" w:rsidP="00F870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T</w:t>
      </w:r>
      <w:r w:rsidR="006D1207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ourism and leisure facilities, information and communication</w:t>
      </w:r>
      <w:r w:rsidR="009A02FF" w:rsidRPr="009A02FF">
        <w:rPr>
          <w:rFonts w:ascii="Arial" w:eastAsia="Times New Roman" w:hAnsi="Arial" w:cs="Arial"/>
          <w:color w:val="000000"/>
          <w:kern w:val="0"/>
          <w:sz w:val="24"/>
          <w:szCs w:val="24"/>
          <w:lang w:eastAsia="en-IE"/>
          <w14:ligatures w14:val="none"/>
        </w:rPr>
        <w:t>.</w:t>
      </w:r>
    </w:p>
    <w:p w14:paraId="0E10D6C5" w14:textId="77777777" w:rsidR="009A02FF" w:rsidRDefault="009A02FF">
      <w:pPr>
        <w:rPr>
          <w:rFonts w:ascii="Cambria" w:eastAsia="Times New Roman" w:hAnsi="Cambria" w:cs="Times New Roman"/>
          <w:b/>
          <w:bCs/>
          <w:color w:val="000000"/>
          <w:kern w:val="0"/>
          <w:u w:val="single"/>
          <w:lang w:eastAsia="en-IE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u w:val="single"/>
          <w:lang w:eastAsia="en-IE"/>
          <w14:ligatures w14:val="none"/>
        </w:rPr>
        <w:br w:type="page"/>
      </w:r>
    </w:p>
    <w:p w14:paraId="41392B72" w14:textId="3562101C" w:rsidR="006D1207" w:rsidRPr="004040EB" w:rsidRDefault="006D1207" w:rsidP="006D1207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IE"/>
          <w14:ligatures w14:val="none"/>
        </w:rPr>
      </w:pPr>
      <w:r w:rsidRPr="004040EB">
        <w:rPr>
          <w:rFonts w:ascii="Cambria" w:eastAsia="Times New Roman" w:hAnsi="Cambria" w:cs="Times New Roman"/>
          <w:b/>
          <w:bCs/>
          <w:color w:val="000000"/>
          <w:kern w:val="0"/>
          <w:u w:val="single"/>
          <w:lang w:eastAsia="en-IE"/>
          <w14:ligatures w14:val="none"/>
        </w:rPr>
        <w:lastRenderedPageBreak/>
        <w:t>Entente Florale Europe Results and Awards</w:t>
      </w:r>
      <w:r>
        <w:rPr>
          <w:rFonts w:ascii="Cambria" w:eastAsia="Times New Roman" w:hAnsi="Cambria" w:cs="Times New Roman"/>
          <w:b/>
          <w:bCs/>
          <w:color w:val="000000"/>
          <w:kern w:val="0"/>
          <w:u w:val="single"/>
          <w:lang w:eastAsia="en-IE"/>
          <w14:ligatures w14:val="none"/>
        </w:rPr>
        <w:t xml:space="preserve"> </w:t>
      </w:r>
      <w:r w:rsidRPr="004040EB">
        <w:rPr>
          <w:rFonts w:ascii="Cambria" w:eastAsia="Times New Roman" w:hAnsi="Cambria" w:cs="Times New Roman"/>
          <w:b/>
          <w:bCs/>
          <w:color w:val="000000"/>
          <w:kern w:val="0"/>
          <w:u w:val="single"/>
          <w:lang w:eastAsia="en-IE"/>
          <w14:ligatures w14:val="none"/>
        </w:rPr>
        <w:t>202</w:t>
      </w:r>
      <w:r w:rsidR="002D2BBD">
        <w:rPr>
          <w:rFonts w:ascii="Cambria" w:eastAsia="Times New Roman" w:hAnsi="Cambria" w:cs="Times New Roman"/>
          <w:b/>
          <w:bCs/>
          <w:color w:val="000000"/>
          <w:kern w:val="0"/>
          <w:u w:val="single"/>
          <w:lang w:eastAsia="en-IE"/>
          <w14:ligatures w14:val="none"/>
        </w:rPr>
        <w:t>5</w:t>
      </w:r>
      <w:r w:rsidRPr="004040EB">
        <w:rPr>
          <w:rFonts w:ascii="Cambria" w:eastAsia="Times New Roman" w:hAnsi="Cambria" w:cs="Times New Roman"/>
          <w:b/>
          <w:bCs/>
          <w:color w:val="000000"/>
          <w:kern w:val="0"/>
          <w:u w:val="single"/>
          <w:lang w:eastAsia="en-IE"/>
          <w14:ligatures w14:val="none"/>
        </w:rPr>
        <w:t> </w:t>
      </w:r>
    </w:p>
    <w:p w14:paraId="494493DF" w14:textId="306F3571" w:rsidR="006D1207" w:rsidRPr="00991641" w:rsidRDefault="006D1207" w:rsidP="006D1207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991641"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 xml:space="preserve">This year the jury awarded </w:t>
      </w:r>
      <w:r w:rsidR="007F75E3"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>6</w:t>
      </w:r>
      <w:r w:rsidRPr="00991641"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 xml:space="preserve"> silver and </w:t>
      </w:r>
      <w:r w:rsidR="007F75E3"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>5</w:t>
      </w:r>
      <w:r w:rsidRPr="00991641"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 xml:space="preserve"> gold </w:t>
      </w:r>
      <w:r w:rsidR="009A02FF"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>medals, and a</w:t>
      </w:r>
      <w:r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 xml:space="preserve">ll participants </w:t>
      </w:r>
      <w:r w:rsidR="009A02FF"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>can take pride in their communities’ achievements.</w:t>
      </w:r>
      <w:r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 xml:space="preserve"> </w:t>
      </w:r>
    </w:p>
    <w:tbl>
      <w:tblPr>
        <w:tblW w:w="82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2935"/>
        <w:gridCol w:w="2284"/>
        <w:gridCol w:w="1303"/>
      </w:tblGrid>
      <w:tr w:rsidR="009A02FF" w:rsidRPr="00F10F3B" w14:paraId="1BA9D464" w14:textId="77777777" w:rsidTr="0040656C">
        <w:trPr>
          <w:trHeight w:val="69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DA99E" w14:textId="4ACC2128" w:rsidR="009A02FF" w:rsidRPr="00F10F3B" w:rsidRDefault="009A02FF" w:rsidP="00E33055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Category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0ED84" w14:textId="5432A7E7" w:rsidR="009A02FF" w:rsidRPr="00F10F3B" w:rsidRDefault="00F10F3B" w:rsidP="00F10F3B">
            <w:pPr>
              <w:spacing w:before="240" w:after="2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9A02FF"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Participant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48FA1" w14:textId="6963A64C" w:rsidR="009A02FF" w:rsidRPr="00F10F3B" w:rsidRDefault="009A02FF" w:rsidP="00E33055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Country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719E9" w14:textId="7E6E96CE" w:rsidR="009A02FF" w:rsidRPr="00F10F3B" w:rsidRDefault="009A02FF" w:rsidP="00E33055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Award</w:t>
            </w:r>
          </w:p>
        </w:tc>
      </w:tr>
      <w:tr w:rsidR="0040656C" w:rsidRPr="00F10F3B" w14:paraId="49F30841" w14:textId="77777777" w:rsidTr="00F10F3B">
        <w:trPr>
          <w:trHeight w:val="81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E9BB95" w14:textId="2C183F79" w:rsidR="006D1207" w:rsidRPr="00F10F3B" w:rsidRDefault="006D1207" w:rsidP="00E3305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Village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954A14" w14:textId="4F409781" w:rsidR="006D1207" w:rsidRPr="00F10F3B" w:rsidRDefault="009A02FF" w:rsidP="009A02FF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6D1207"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Ba</w:t>
            </w:r>
            <w:r w:rsidR="002D2BBD"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bylon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68B8C7" w14:textId="77777777" w:rsidR="00F10F3B" w:rsidRPr="00F10F3B" w:rsidRDefault="00F10F3B" w:rsidP="00F10F3B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D4458C"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Czech </w:t>
            </w: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</w:t>
            </w:r>
          </w:p>
          <w:p w14:paraId="7847B170" w14:textId="64608989" w:rsidR="006D1207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D4458C"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Republic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EFD29" w14:textId="77777777" w:rsidR="006D1207" w:rsidRPr="00F10F3B" w:rsidRDefault="006D1207" w:rsidP="00E3305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Gold</w:t>
            </w:r>
          </w:p>
        </w:tc>
      </w:tr>
      <w:tr w:rsidR="0040656C" w:rsidRPr="00F10F3B" w14:paraId="3730D2D1" w14:textId="77777777" w:rsidTr="00E33055">
        <w:trPr>
          <w:trHeight w:val="4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9070EB" w14:textId="713AA07A" w:rsidR="006D1207" w:rsidRPr="00F10F3B" w:rsidRDefault="00D4458C" w:rsidP="00E3305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City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8AFE7" w14:textId="54AEE67E" w:rsidR="006D1207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D4458C"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Nice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10429" w14:textId="49484818" w:rsidR="006D1207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D4458C"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France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599187" w14:textId="77777777" w:rsidR="006D1207" w:rsidRPr="00F10F3B" w:rsidRDefault="006D1207" w:rsidP="00E3305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Gold</w:t>
            </w:r>
          </w:p>
        </w:tc>
      </w:tr>
      <w:tr w:rsidR="0040656C" w:rsidRPr="00F10F3B" w14:paraId="5E655374" w14:textId="77777777" w:rsidTr="00E33055">
        <w:trPr>
          <w:trHeight w:val="4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46F9E" w14:textId="2464AB16" w:rsidR="006D1207" w:rsidRPr="00F10F3B" w:rsidRDefault="006D1207" w:rsidP="00E3305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Village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AFC7C" w14:textId="36AAED38" w:rsidR="006D1207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D4458C"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Terryglass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4CCBB" w14:textId="721776C4" w:rsidR="006D1207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D4458C"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Ireland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AEF7CE" w14:textId="77777777" w:rsidR="006D1207" w:rsidRPr="00F10F3B" w:rsidRDefault="006D1207" w:rsidP="00E3305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Gold</w:t>
            </w:r>
          </w:p>
        </w:tc>
      </w:tr>
      <w:tr w:rsidR="007673B5" w:rsidRPr="00F10F3B" w14:paraId="2635CCE9" w14:textId="77777777" w:rsidTr="007673B5">
        <w:trPr>
          <w:trHeight w:val="3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26A54" w14:textId="53972001" w:rsidR="007673B5" w:rsidRPr="00F10F3B" w:rsidRDefault="007673B5" w:rsidP="007673B5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Town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5E59F" w14:textId="22C47083" w:rsidR="007673B5" w:rsidRPr="00F10F3B" w:rsidRDefault="00F10F3B" w:rsidP="00F10F3B">
            <w:pPr>
              <w:spacing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Maynooth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6B4B7" w14:textId="4AECE6CC" w:rsidR="007673B5" w:rsidRPr="00F10F3B" w:rsidRDefault="00F10F3B" w:rsidP="00F10F3B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Ireland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FB3E9" w14:textId="26F64680" w:rsidR="007673B5" w:rsidRPr="00F10F3B" w:rsidRDefault="007673B5" w:rsidP="007673B5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Gold</w:t>
            </w:r>
          </w:p>
        </w:tc>
      </w:tr>
      <w:tr w:rsidR="007673B5" w:rsidRPr="00F10F3B" w14:paraId="2D952027" w14:textId="77777777" w:rsidTr="00E33055">
        <w:trPr>
          <w:trHeight w:val="3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0A71EE" w14:textId="184577B8" w:rsidR="007673B5" w:rsidRPr="00F10F3B" w:rsidRDefault="007673B5" w:rsidP="007673B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Village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17008" w14:textId="6E18D0B1" w:rsidR="007673B5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Huglfing 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3C210" w14:textId="65A617D3" w:rsidR="007673B5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Germany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8D3E1" w14:textId="77777777" w:rsidR="007673B5" w:rsidRPr="00F10F3B" w:rsidRDefault="007673B5" w:rsidP="007673B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Gold</w:t>
            </w:r>
          </w:p>
        </w:tc>
      </w:tr>
      <w:tr w:rsidR="007673B5" w:rsidRPr="00F10F3B" w14:paraId="6DD7DE54" w14:textId="77777777" w:rsidTr="0040656C">
        <w:trPr>
          <w:trHeight w:val="4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F4199" w14:textId="0031060A" w:rsidR="007673B5" w:rsidRPr="00F10F3B" w:rsidRDefault="007673B5" w:rsidP="007673B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Village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47038" w14:textId="343EFE33" w:rsidR="007673B5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Zedtwitz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D21094" w14:textId="76D61D77" w:rsidR="007673B5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Germany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2B789" w14:textId="6AB0175C" w:rsidR="007673B5" w:rsidRPr="00F10F3B" w:rsidRDefault="007673B5" w:rsidP="007673B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Silver</w:t>
            </w:r>
          </w:p>
        </w:tc>
      </w:tr>
      <w:tr w:rsidR="007673B5" w:rsidRPr="00F10F3B" w14:paraId="26BA147B" w14:textId="77777777" w:rsidTr="0040656C">
        <w:trPr>
          <w:trHeight w:val="4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93B5F" w14:textId="768476EA" w:rsidR="007673B5" w:rsidRPr="00F10F3B" w:rsidRDefault="007673B5" w:rsidP="007673B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Town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772EA" w14:textId="64437225" w:rsidR="007673B5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Costigliole d’Asti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07F2F" w14:textId="7137258A" w:rsidR="007673B5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Italy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BF170" w14:textId="77777777" w:rsidR="007673B5" w:rsidRPr="00F10F3B" w:rsidRDefault="007673B5" w:rsidP="007673B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Silver</w:t>
            </w:r>
          </w:p>
        </w:tc>
      </w:tr>
      <w:tr w:rsidR="007673B5" w:rsidRPr="00F10F3B" w14:paraId="6F2EBFC2" w14:textId="77777777" w:rsidTr="0040656C">
        <w:trPr>
          <w:trHeight w:val="6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06E67" w14:textId="3D81B642" w:rsidR="007673B5" w:rsidRPr="00F10F3B" w:rsidRDefault="007673B5" w:rsidP="007673B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City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83657" w14:textId="5893B6B4" w:rsidR="007673B5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Nantes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998809" w14:textId="6F8B2397" w:rsidR="007673B5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France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04B8B5" w14:textId="77777777" w:rsidR="007673B5" w:rsidRPr="00F10F3B" w:rsidRDefault="007673B5" w:rsidP="007673B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Silver</w:t>
            </w:r>
          </w:p>
        </w:tc>
      </w:tr>
      <w:tr w:rsidR="007673B5" w:rsidRPr="00F10F3B" w14:paraId="5A23D4E1" w14:textId="77777777" w:rsidTr="007673B5">
        <w:trPr>
          <w:trHeight w:val="53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7F64AB" w14:textId="381012AA" w:rsidR="007673B5" w:rsidRPr="00F10F3B" w:rsidRDefault="007673B5" w:rsidP="007673B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City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45E33E" w14:textId="22A8B1A7" w:rsidR="007673B5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Satu Mare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2B8362" w14:textId="31CF3570" w:rsidR="007673B5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Romania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C39D7" w14:textId="7385D4D8" w:rsidR="007673B5" w:rsidRPr="00F10F3B" w:rsidRDefault="00F10F3B" w:rsidP="007673B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Silver</w:t>
            </w:r>
          </w:p>
        </w:tc>
      </w:tr>
      <w:tr w:rsidR="007673B5" w:rsidRPr="00F10F3B" w14:paraId="5B5D77A4" w14:textId="77777777" w:rsidTr="007673B5">
        <w:trPr>
          <w:trHeight w:val="49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AAAB88" w14:textId="14E4C364" w:rsidR="007673B5" w:rsidRPr="00F10F3B" w:rsidRDefault="007673B5" w:rsidP="007673B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Village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835A8B" w14:textId="7D8BED12" w:rsidR="007673B5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Varsány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5740B" w14:textId="0AEE084E" w:rsidR="007673B5" w:rsidRPr="00F10F3B" w:rsidRDefault="00F10F3B" w:rsidP="00F10F3B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Hungary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B192E6" w14:textId="77777777" w:rsidR="007673B5" w:rsidRPr="00F10F3B" w:rsidRDefault="007673B5" w:rsidP="007673B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Silver</w:t>
            </w:r>
          </w:p>
        </w:tc>
      </w:tr>
      <w:tr w:rsidR="007673B5" w:rsidRPr="00F10F3B" w14:paraId="6426453C" w14:textId="77777777" w:rsidTr="007673B5">
        <w:trPr>
          <w:trHeight w:val="4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3B29C" w14:textId="248EAFC4" w:rsidR="007673B5" w:rsidRPr="00F10F3B" w:rsidRDefault="007673B5" w:rsidP="00F10F3B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City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7D0F5" w14:textId="20EB3DA7" w:rsidR="007673B5" w:rsidRPr="00F10F3B" w:rsidRDefault="00F10F3B" w:rsidP="00F10F3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Nyíregyháza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80903" w14:textId="64716575" w:rsidR="007673B5" w:rsidRPr="00F10F3B" w:rsidRDefault="00F10F3B" w:rsidP="00F10F3B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</w:t>
            </w:r>
            <w:r w:rsidR="007673B5"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Hungary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EB945" w14:textId="02FB1737" w:rsidR="007673B5" w:rsidRPr="00F10F3B" w:rsidRDefault="007673B5" w:rsidP="00F10F3B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Silver</w:t>
            </w:r>
          </w:p>
        </w:tc>
      </w:tr>
    </w:tbl>
    <w:p w14:paraId="7F8E582D" w14:textId="77777777" w:rsidR="007673B5" w:rsidRDefault="007673B5" w:rsidP="00F10F3B">
      <w:pPr>
        <w:widowControl w:val="0"/>
        <w:spacing w:before="40" w:after="0" w:line="276" w:lineRule="auto"/>
        <w:ind w:left="-142" w:right="379"/>
        <w:outlineLvl w:val="2"/>
        <w:rPr>
          <w:rFonts w:eastAsia="Calibri" w:cstheme="minorHAnsi"/>
          <w:b/>
          <w:bCs/>
          <w:kern w:val="0"/>
          <w:sz w:val="28"/>
          <w:szCs w:val="28"/>
          <w:u w:val="single"/>
          <w:lang w:val="en-US" w:eastAsia="en-IE"/>
          <w14:ligatures w14:val="none"/>
        </w:rPr>
      </w:pPr>
    </w:p>
    <w:p w14:paraId="3C515448" w14:textId="77777777" w:rsidR="00F10F3B" w:rsidRDefault="00F10F3B" w:rsidP="00F10F3B">
      <w:pPr>
        <w:widowControl w:val="0"/>
        <w:spacing w:before="40" w:after="0" w:line="276" w:lineRule="auto"/>
        <w:ind w:left="-142" w:right="379"/>
        <w:outlineLvl w:val="2"/>
        <w:rPr>
          <w:rFonts w:eastAsia="Calibri" w:cstheme="minorHAnsi"/>
          <w:b/>
          <w:bCs/>
          <w:kern w:val="0"/>
          <w:sz w:val="28"/>
          <w:szCs w:val="28"/>
          <w:u w:val="single"/>
          <w:lang w:val="en-US" w:eastAsia="en-IE"/>
          <w14:ligatures w14:val="none"/>
        </w:rPr>
      </w:pPr>
    </w:p>
    <w:p w14:paraId="16A769B9" w14:textId="2F8F920F" w:rsidR="00F10F3B" w:rsidRPr="00F10F3B" w:rsidRDefault="00F10F3B" w:rsidP="00F10F3B">
      <w:pPr>
        <w:widowControl w:val="0"/>
        <w:spacing w:before="40" w:after="0" w:line="276" w:lineRule="auto"/>
        <w:ind w:left="-142" w:right="379"/>
        <w:outlineLvl w:val="2"/>
        <w:rPr>
          <w:rFonts w:eastAsia="Calibri" w:cstheme="minorHAnsi"/>
          <w:b/>
          <w:bCs/>
          <w:kern w:val="0"/>
          <w:sz w:val="28"/>
          <w:szCs w:val="28"/>
          <w:lang w:val="en-US" w:eastAsia="en-IE"/>
          <w14:ligatures w14:val="none"/>
        </w:rPr>
      </w:pPr>
      <w:r w:rsidRPr="00F10F3B">
        <w:rPr>
          <w:rFonts w:ascii="Cambria" w:eastAsia="Times New Roman" w:hAnsi="Cambria" w:cs="Times New Roman"/>
          <w:b/>
          <w:bCs/>
          <w:color w:val="000000"/>
          <w:kern w:val="0"/>
          <w:lang w:eastAsia="en-IE"/>
          <w14:ligatures w14:val="none"/>
        </w:rPr>
        <w:t>The jury also awarded the following special awards:</w:t>
      </w:r>
    </w:p>
    <w:tbl>
      <w:tblPr>
        <w:tblStyle w:val="TableGrid1"/>
        <w:tblW w:w="10065" w:type="dxa"/>
        <w:tblInd w:w="-714" w:type="dxa"/>
        <w:tblLook w:val="04A0" w:firstRow="1" w:lastRow="0" w:firstColumn="1" w:lastColumn="0" w:noHBand="0" w:noVBand="1"/>
      </w:tblPr>
      <w:tblGrid>
        <w:gridCol w:w="2977"/>
        <w:gridCol w:w="4111"/>
        <w:gridCol w:w="2977"/>
      </w:tblGrid>
      <w:tr w:rsidR="00F10F3B" w:rsidRPr="007673B5" w14:paraId="7FA3A72B" w14:textId="77777777" w:rsidTr="00F10F3B">
        <w:tc>
          <w:tcPr>
            <w:tcW w:w="2977" w:type="dxa"/>
          </w:tcPr>
          <w:p w14:paraId="689777B7" w14:textId="27BC8530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u w:val="single"/>
                <w:lang w:val="nl-BE" w:eastAsia="en-IE"/>
                <w14:ligatures w14:val="none"/>
              </w:rPr>
            </w:pPr>
            <w:r w:rsidRPr="00F10F3B">
              <w:rPr>
                <w:rFonts w:eastAsia="Calibri" w:cstheme="minorHAnsi"/>
                <w:b/>
                <w:bCs/>
                <w:kern w:val="0"/>
                <w:sz w:val="24"/>
                <w:szCs w:val="24"/>
                <w:u w:val="single"/>
                <w:lang w:val="nl-BE" w:eastAsia="en-IE"/>
                <w14:ligatures w14:val="none"/>
              </w:rPr>
              <w:t>A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u w:val="single"/>
                <w:lang w:val="nl-BE" w:eastAsia="en-IE"/>
                <w14:ligatures w14:val="none"/>
              </w:rPr>
              <w:t>ward</w:t>
            </w:r>
          </w:p>
        </w:tc>
        <w:tc>
          <w:tcPr>
            <w:tcW w:w="4111" w:type="dxa"/>
          </w:tcPr>
          <w:p w14:paraId="15D89541" w14:textId="77777777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u w:val="single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u w:val="single"/>
                <w:lang w:val="nl-BE" w:eastAsia="en-IE"/>
                <w14:ligatures w14:val="none"/>
              </w:rPr>
              <w:t>Project</w:t>
            </w:r>
          </w:p>
        </w:tc>
        <w:tc>
          <w:tcPr>
            <w:tcW w:w="2977" w:type="dxa"/>
          </w:tcPr>
          <w:p w14:paraId="30E29610" w14:textId="77777777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u w:val="single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u w:val="single"/>
                <w:lang w:val="nl-BE" w:eastAsia="en-IE"/>
                <w14:ligatures w14:val="none"/>
              </w:rPr>
              <w:t>Participant</w:t>
            </w:r>
          </w:p>
        </w:tc>
      </w:tr>
      <w:tr w:rsidR="00F10F3B" w:rsidRPr="007673B5" w14:paraId="448324D3" w14:textId="77777777" w:rsidTr="00F10F3B">
        <w:tc>
          <w:tcPr>
            <w:tcW w:w="2977" w:type="dxa"/>
          </w:tcPr>
          <w:p w14:paraId="44512823" w14:textId="77777777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President’s Prize</w:t>
            </w:r>
          </w:p>
        </w:tc>
        <w:tc>
          <w:tcPr>
            <w:tcW w:w="4111" w:type="dxa"/>
          </w:tcPr>
          <w:p w14:paraId="787DA8F1" w14:textId="79ADE6B0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 xml:space="preserve">The </w:t>
            </w:r>
            <w:r w:rsidR="008F6BAA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‘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Retrofit Demonstration House</w:t>
            </w:r>
            <w:r w:rsidR="008F6BAA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’</w:t>
            </w:r>
          </w:p>
        </w:tc>
        <w:tc>
          <w:tcPr>
            <w:tcW w:w="2977" w:type="dxa"/>
          </w:tcPr>
          <w:p w14:paraId="76D0BBCB" w14:textId="77777777" w:rsidR="00F10F3B" w:rsidRPr="00F10F3B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Maynooth, Ireland</w:t>
            </w:r>
          </w:p>
          <w:p w14:paraId="7EC0C644" w14:textId="7D5DF3DF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8"/>
                <w:szCs w:val="8"/>
                <w:lang w:val="nl-BE" w:eastAsia="en-IE"/>
                <w14:ligatures w14:val="none"/>
              </w:rPr>
            </w:pPr>
          </w:p>
        </w:tc>
      </w:tr>
      <w:tr w:rsidR="00F10F3B" w:rsidRPr="007673B5" w14:paraId="7410B866" w14:textId="77777777" w:rsidTr="00F10F3B">
        <w:trPr>
          <w:trHeight w:val="464"/>
        </w:trPr>
        <w:tc>
          <w:tcPr>
            <w:tcW w:w="2977" w:type="dxa"/>
          </w:tcPr>
          <w:p w14:paraId="762891E2" w14:textId="77777777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Herbert Titz Memorial Prize</w:t>
            </w:r>
          </w:p>
        </w:tc>
        <w:tc>
          <w:tcPr>
            <w:tcW w:w="4111" w:type="dxa"/>
          </w:tcPr>
          <w:p w14:paraId="0D718623" w14:textId="32E73421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The </w:t>
            </w:r>
            <w:r w:rsidR="008F6BAA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‘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Mandala Herb garden</w:t>
            </w:r>
            <w:r w:rsidR="008F6BAA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’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 at the castle.</w:t>
            </w:r>
          </w:p>
        </w:tc>
        <w:tc>
          <w:tcPr>
            <w:tcW w:w="2977" w:type="dxa"/>
          </w:tcPr>
          <w:p w14:paraId="5733AA14" w14:textId="77777777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Zedwitz, Germany</w:t>
            </w:r>
          </w:p>
        </w:tc>
      </w:tr>
      <w:tr w:rsidR="00F10F3B" w:rsidRPr="007673B5" w14:paraId="6179E19F" w14:textId="77777777" w:rsidTr="00F10F3B">
        <w:tc>
          <w:tcPr>
            <w:tcW w:w="2977" w:type="dxa"/>
          </w:tcPr>
          <w:p w14:paraId="407F19EA" w14:textId="77777777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Green Space Award – with World Urban Parks</w:t>
            </w:r>
          </w:p>
        </w:tc>
        <w:tc>
          <w:tcPr>
            <w:tcW w:w="4111" w:type="dxa"/>
          </w:tcPr>
          <w:p w14:paraId="6711FF65" w14:textId="144D80E1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The highest (average) score for the criterion ‘Green Spaces’ </w:t>
            </w:r>
          </w:p>
        </w:tc>
        <w:tc>
          <w:tcPr>
            <w:tcW w:w="2977" w:type="dxa"/>
          </w:tcPr>
          <w:p w14:paraId="387FBA48" w14:textId="77777777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Nyiregyháza, Hungary</w:t>
            </w:r>
          </w:p>
          <w:p w14:paraId="171A27E9" w14:textId="77777777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Nantes, France</w:t>
            </w:r>
          </w:p>
        </w:tc>
      </w:tr>
      <w:tr w:rsidR="00F10F3B" w:rsidRPr="007673B5" w14:paraId="478013AB" w14:textId="77777777" w:rsidTr="00F10F3B">
        <w:tc>
          <w:tcPr>
            <w:tcW w:w="2977" w:type="dxa"/>
          </w:tcPr>
          <w:p w14:paraId="1BD171A6" w14:textId="77777777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50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vertAlign w:val="superscript"/>
                <w:lang w:eastAsia="en-IE"/>
                <w14:ligatures w14:val="none"/>
              </w:rPr>
              <w:t>th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 Jubilee Special Jury Prize</w:t>
            </w:r>
          </w:p>
        </w:tc>
        <w:tc>
          <w:tcPr>
            <w:tcW w:w="4111" w:type="dxa"/>
          </w:tcPr>
          <w:p w14:paraId="4D019B76" w14:textId="77777777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For the special environmental education programmes at the local school</w:t>
            </w:r>
          </w:p>
        </w:tc>
        <w:tc>
          <w:tcPr>
            <w:tcW w:w="2977" w:type="dxa"/>
          </w:tcPr>
          <w:p w14:paraId="51B5D382" w14:textId="77777777" w:rsidR="00F10F3B" w:rsidRPr="007673B5" w:rsidRDefault="00F10F3B" w:rsidP="00F10F3B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Costigliole d’Asti, Italy</w:t>
            </w:r>
          </w:p>
        </w:tc>
      </w:tr>
    </w:tbl>
    <w:tbl>
      <w:tblPr>
        <w:tblStyle w:val="TableGrid2"/>
        <w:tblW w:w="9923" w:type="dxa"/>
        <w:tblInd w:w="-856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7673B5" w:rsidRPr="007673B5" w14:paraId="41F5F0D0" w14:textId="77777777" w:rsidTr="007673B5">
        <w:tc>
          <w:tcPr>
            <w:tcW w:w="9923" w:type="dxa"/>
            <w:gridSpan w:val="2"/>
          </w:tcPr>
          <w:p w14:paraId="460C6702" w14:textId="77777777" w:rsidR="007673B5" w:rsidRDefault="007673B5" w:rsidP="00F10F3B">
            <w:pPr>
              <w:keepNext/>
              <w:keepLines/>
              <w:spacing w:before="40" w:line="276" w:lineRule="auto"/>
              <w:ind w:left="720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8"/>
                <w:szCs w:val="28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8"/>
                <w:szCs w:val="28"/>
                <w:lang w:val="en-US" w:eastAsia="en-IE"/>
                <w14:ligatures w14:val="none"/>
              </w:rPr>
              <w:lastRenderedPageBreak/>
              <w:t>Special Characteristics Outstanding activities or features)</w:t>
            </w:r>
          </w:p>
          <w:p w14:paraId="36003B76" w14:textId="6E299788" w:rsidR="00F10F3B" w:rsidRPr="007673B5" w:rsidRDefault="00F10F3B" w:rsidP="00F10F3B">
            <w:pPr>
              <w:keepNext/>
              <w:keepLines/>
              <w:spacing w:before="40" w:line="276" w:lineRule="auto"/>
              <w:ind w:left="720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16"/>
                <w:szCs w:val="16"/>
                <w:lang w:val="en-US" w:eastAsia="en-IE"/>
                <w14:ligatures w14:val="none"/>
              </w:rPr>
            </w:pPr>
          </w:p>
        </w:tc>
      </w:tr>
      <w:tr w:rsidR="007673B5" w:rsidRPr="007673B5" w14:paraId="4042A77B" w14:textId="77777777" w:rsidTr="007673B5">
        <w:tc>
          <w:tcPr>
            <w:tcW w:w="3119" w:type="dxa"/>
          </w:tcPr>
          <w:p w14:paraId="13243854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Satu Mare, Romania</w:t>
            </w:r>
          </w:p>
        </w:tc>
        <w:tc>
          <w:tcPr>
            <w:tcW w:w="6804" w:type="dxa"/>
          </w:tcPr>
          <w:p w14:paraId="6F919D0B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the excellent digital survey of trees in the city that was started in 2017 and has been updated several times since then</w:t>
            </w:r>
          </w:p>
        </w:tc>
      </w:tr>
      <w:tr w:rsidR="007673B5" w:rsidRPr="007673B5" w14:paraId="27AF3AB7" w14:textId="77777777" w:rsidTr="007673B5">
        <w:tc>
          <w:tcPr>
            <w:tcW w:w="3119" w:type="dxa"/>
            <w:vAlign w:val="center"/>
          </w:tcPr>
          <w:p w14:paraId="581FF685" w14:textId="359AB271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Ny</w:t>
            </w:r>
            <w:r w:rsidR="000103D6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í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regyháza, Hungary</w:t>
            </w:r>
          </w:p>
        </w:tc>
        <w:tc>
          <w:tcPr>
            <w:tcW w:w="6804" w:type="dxa"/>
          </w:tcPr>
          <w:p w14:paraId="5D41282D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the impressive squares and green spaces in the city centre which have been pedestrianized and expanded.</w:t>
            </w:r>
          </w:p>
        </w:tc>
      </w:tr>
      <w:tr w:rsidR="007673B5" w:rsidRPr="007673B5" w14:paraId="44D54451" w14:textId="77777777" w:rsidTr="007673B5">
        <w:tc>
          <w:tcPr>
            <w:tcW w:w="3119" w:type="dxa"/>
          </w:tcPr>
          <w:p w14:paraId="086C3555" w14:textId="2111E0F9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Vars</w:t>
            </w:r>
            <w:r w:rsidR="000103D6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á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ny, Hungary</w:t>
            </w:r>
          </w:p>
        </w:tc>
        <w:tc>
          <w:tcPr>
            <w:tcW w:w="6804" w:type="dxa"/>
          </w:tcPr>
          <w:p w14:paraId="3A46AFDB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eastAsia="en-IE"/>
                <w14:ligatures w14:val="none"/>
              </w:rPr>
              <w:t>For the sensitive approach being taken to improving tourism within the village.</w:t>
            </w:r>
          </w:p>
        </w:tc>
      </w:tr>
      <w:tr w:rsidR="007673B5" w:rsidRPr="007673B5" w14:paraId="01B5E39D" w14:textId="77777777" w:rsidTr="007673B5">
        <w:tc>
          <w:tcPr>
            <w:tcW w:w="3119" w:type="dxa"/>
          </w:tcPr>
          <w:p w14:paraId="44AAB683" w14:textId="0C50A2FC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Babylon, Czech Republic</w:t>
            </w:r>
          </w:p>
        </w:tc>
        <w:tc>
          <w:tcPr>
            <w:tcW w:w="6804" w:type="dxa"/>
          </w:tcPr>
          <w:p w14:paraId="55AA676A" w14:textId="77777777" w:rsid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the Devil's stone and the centuries old water line</w:t>
            </w:r>
          </w:p>
          <w:p w14:paraId="64288652" w14:textId="77777777" w:rsidR="000103D6" w:rsidRPr="007673B5" w:rsidRDefault="000103D6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12"/>
                <w:szCs w:val="12"/>
                <w:lang w:val="en-US" w:eastAsia="en-IE"/>
                <w14:ligatures w14:val="none"/>
              </w:rPr>
            </w:pPr>
          </w:p>
        </w:tc>
      </w:tr>
      <w:tr w:rsidR="007673B5" w:rsidRPr="007673B5" w14:paraId="55BE6369" w14:textId="77777777" w:rsidTr="007673B5">
        <w:tc>
          <w:tcPr>
            <w:tcW w:w="3119" w:type="dxa"/>
          </w:tcPr>
          <w:p w14:paraId="39E9C01F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Zedwitz, Germany</w:t>
            </w:r>
          </w:p>
        </w:tc>
        <w:tc>
          <w:tcPr>
            <w:tcW w:w="6804" w:type="dxa"/>
          </w:tcPr>
          <w:p w14:paraId="577C470B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eastAsia="en-IE"/>
                <w14:ligatures w14:val="none"/>
              </w:rPr>
              <w:t>For conversion of farm buildings and wildflowers planted on field margins</w:t>
            </w:r>
          </w:p>
        </w:tc>
      </w:tr>
      <w:tr w:rsidR="007673B5" w:rsidRPr="007673B5" w14:paraId="1D84A44A" w14:textId="77777777" w:rsidTr="007673B5">
        <w:tc>
          <w:tcPr>
            <w:tcW w:w="3119" w:type="dxa"/>
          </w:tcPr>
          <w:p w14:paraId="03F89B00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Huglfing, Germany</w:t>
            </w:r>
          </w:p>
        </w:tc>
        <w:tc>
          <w:tc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the adventure playground</w:t>
            </w:r>
          </w:p>
          <w:p w14:paraId="735EF908" w14:textId="77777777" w:rsidR="000103D6" w:rsidRPr="007673B5" w:rsidRDefault="000103D6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16"/>
                <w:szCs w:val="16"/>
                <w:lang w:val="en-US" w:eastAsia="en-IE"/>
                <w14:ligatures w14:val="none"/>
              </w:rPr>
            </w:pPr>
          </w:p>
        </w:tc>
      </w:tr>
      <w:tr w:rsidR="007673B5" w:rsidRPr="007673B5" w14:paraId="43FA69CE" w14:textId="77777777" w:rsidTr="007673B5">
        <w:tc>
          <w:tcPr>
            <w:tcW w:w="3119" w:type="dxa"/>
          </w:tcPr>
          <w:p w14:paraId="049F7271" w14:textId="2377FBC4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right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 xml:space="preserve">Costigliole </w:t>
            </w:r>
            <w:r w:rsidRPr="00F10F3B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d’Asti Italy</w:t>
            </w:r>
          </w:p>
        </w:tc>
        <w:tc>
          <w:tcPr>
            <w:tcW w:w="6804" w:type="dxa"/>
          </w:tcPr>
          <w:p w14:paraId="73F61E6E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eastAsia="en-IE"/>
                <w14:ligatures w14:val="none"/>
              </w:rPr>
              <w:t>For the special care for the surrounding designated vineyards (UNESCO World Heritage Site) and their integration into the local economy.</w:t>
            </w:r>
          </w:p>
        </w:tc>
      </w:tr>
      <w:tr w:rsidR="007673B5" w:rsidRPr="007673B5" w14:paraId="660E54FE" w14:textId="77777777" w:rsidTr="007673B5">
        <w:tc>
          <w:tcPr>
            <w:tcW w:w="3119" w:type="dxa"/>
          </w:tcPr>
          <w:p w14:paraId="78B9E9CF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Nice, France</w:t>
            </w:r>
          </w:p>
        </w:tc>
        <w:tc>
          <w:tcPr>
            <w:tcW w:w="6804" w:type="dxa"/>
          </w:tcPr>
          <w:p w14:paraId="0F4BB292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revitalization of the Promenade du Paillon and the enhancement of urban cohesion between the historic and contemporary quarters of the city.</w:t>
            </w:r>
          </w:p>
        </w:tc>
      </w:tr>
      <w:tr w:rsidR="007673B5" w:rsidRPr="007673B5" w14:paraId="09859103" w14:textId="77777777" w:rsidTr="007673B5">
        <w:tc>
          <w:tcPr>
            <w:tcW w:w="3119" w:type="dxa"/>
          </w:tcPr>
          <w:p w14:paraId="4EDF78D4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Nantes, France</w:t>
            </w:r>
          </w:p>
        </w:tc>
        <w:tc>
          <w:tcPr>
            <w:tcW w:w="6804" w:type="dxa"/>
          </w:tcPr>
          <w:p w14:paraId="10246828" w14:textId="77777777" w:rsid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the conversion of hard surface areas to green spaces.</w:t>
            </w:r>
          </w:p>
          <w:p w14:paraId="6E2B2DB6" w14:textId="77777777" w:rsidR="000103D6" w:rsidRPr="007673B5" w:rsidRDefault="000103D6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16"/>
                <w:szCs w:val="16"/>
                <w:lang w:val="en-US" w:eastAsia="en-IE"/>
                <w14:ligatures w14:val="none"/>
              </w:rPr>
            </w:pPr>
          </w:p>
        </w:tc>
      </w:tr>
      <w:tr w:rsidR="007673B5" w:rsidRPr="007673B5" w14:paraId="1CE7917A" w14:textId="77777777" w:rsidTr="007673B5">
        <w:tc>
          <w:tcPr>
            <w:tcW w:w="3119" w:type="dxa"/>
          </w:tcPr>
          <w:p w14:paraId="6418D729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Terryglass, Ireland</w:t>
            </w:r>
          </w:p>
        </w:tc>
        <w:tc>
          <w:tcPr>
            <w:tcW w:w="6804" w:type="dxa"/>
          </w:tcPr>
          <w:p w14:paraId="28032D24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Improvement of the village centre by acquisition of land and development of the village green.</w:t>
            </w:r>
          </w:p>
        </w:tc>
      </w:tr>
      <w:tr w:rsidR="007673B5" w:rsidRPr="007673B5" w14:paraId="7470D9D3" w14:textId="77777777" w:rsidTr="007673B5">
        <w:tc>
          <w:tcPr>
            <w:tcW w:w="3119" w:type="dxa"/>
          </w:tcPr>
          <w:p w14:paraId="7AC4AF29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Maynooth, Ireland</w:t>
            </w:r>
          </w:p>
        </w:tc>
        <w:tc>
          <w:tcPr>
            <w:tcW w:w="6804" w:type="dxa"/>
          </w:tcPr>
          <w:p w14:paraId="6680C0C9" w14:textId="77777777" w:rsidR="007673B5" w:rsidRPr="007673B5" w:rsidRDefault="007673B5" w:rsidP="007673B5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the excellent management of the green environment of Maynooth University campus.</w:t>
            </w:r>
          </w:p>
        </w:tc>
      </w:tr>
    </w:tbl>
    <w:p w14:paraId="22E514FF" w14:textId="77777777" w:rsidR="007673B5" w:rsidRPr="00117AB0" w:rsidRDefault="007673B5" w:rsidP="006D1207">
      <w:pPr>
        <w:rPr>
          <w:rFonts w:ascii="Arial" w:hAnsi="Arial" w:cs="Arial"/>
          <w:b/>
          <w:bCs/>
          <w:u w:val="single"/>
        </w:rPr>
      </w:pPr>
    </w:p>
    <w:p w14:paraId="39BD17F5" w14:textId="77777777" w:rsidR="006D1207" w:rsidRPr="00991641" w:rsidRDefault="006D1207" w:rsidP="006D1207">
      <w:pPr>
        <w:spacing w:after="240" w:line="240" w:lineRule="auto"/>
        <w:ind w:right="237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117AB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  <w:r w:rsidRPr="00991641"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 xml:space="preserve">For further information please contact </w:t>
      </w:r>
      <w:hyperlink r:id="rId7" w:history="1">
        <w:r w:rsidRPr="00991641">
          <w:rPr>
            <w:rFonts w:ascii="Cambria" w:eastAsia="Times New Roman" w:hAnsi="Cambria" w:cs="Times New Roman"/>
            <w:color w:val="0000FF"/>
            <w:kern w:val="0"/>
            <w:u w:val="single"/>
            <w:lang w:eastAsia="en-IE"/>
            <w14:ligatures w14:val="none"/>
          </w:rPr>
          <w:t>www.entente-florale.eu</w:t>
        </w:r>
      </w:hyperlink>
    </w:p>
    <w:p w14:paraId="264CDF08" w14:textId="77777777" w:rsidR="006D1207" w:rsidRDefault="006D1207" w:rsidP="006D1207"/>
    <w:p w14:paraId="2656C83F" w14:textId="77777777" w:rsidR="009C7B77" w:rsidRDefault="009C7B77"/>
    <w:sectPr w:rsidR="009C7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54D4"/>
    <w:multiLevelType w:val="multilevel"/>
    <w:tmpl w:val="1EE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02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07"/>
    <w:rsid w:val="000103D6"/>
    <w:rsid w:val="00270BE2"/>
    <w:rsid w:val="002D2BBD"/>
    <w:rsid w:val="0040656C"/>
    <w:rsid w:val="005A7D7E"/>
    <w:rsid w:val="006D1207"/>
    <w:rsid w:val="007673B5"/>
    <w:rsid w:val="007F75E3"/>
    <w:rsid w:val="008A3486"/>
    <w:rsid w:val="008F6BAA"/>
    <w:rsid w:val="009A02FF"/>
    <w:rsid w:val="009C7B77"/>
    <w:rsid w:val="00D4458C"/>
    <w:rsid w:val="00EB0D13"/>
    <w:rsid w:val="00F10F3B"/>
    <w:rsid w:val="00F8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3903"/>
  <w15:chartTrackingRefBased/>
  <w15:docId w15:val="{CF0C01F8-329A-4EB6-BEA6-27320B8A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207"/>
  </w:style>
  <w:style w:type="paragraph" w:styleId="Heading1">
    <w:name w:val="heading 1"/>
    <w:basedOn w:val="Normal"/>
    <w:next w:val="Normal"/>
    <w:link w:val="Heading1Char"/>
    <w:uiPriority w:val="9"/>
    <w:qFormat/>
    <w:rsid w:val="006D1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2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2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20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D1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2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2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2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D1207"/>
    <w:pPr>
      <w:spacing w:after="0" w:line="240" w:lineRule="auto"/>
    </w:pPr>
    <w:rPr>
      <w:kern w:val="0"/>
      <w:lang w:val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6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6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tente-floral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entente-florale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Kearney</dc:creator>
  <cp:keywords/>
  <dc:description/>
  <cp:lastModifiedBy>William Kearney</cp:lastModifiedBy>
  <cp:revision>2</cp:revision>
  <dcterms:created xsi:type="dcterms:W3CDTF">2025-09-28T17:36:00Z</dcterms:created>
  <dcterms:modified xsi:type="dcterms:W3CDTF">2025-09-29T10:17:00Z</dcterms:modified>
</cp:coreProperties>
</file>